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60"/>
      </w:pPr>
      <w:r>
        <w:rPr>
          <w:b/>
          <w:color w:val="4A3728"/>
          <w:sz w:val="38"/>
        </w:rPr>
        <w:t>Laporan Progres Konstruksi Bulanan</w:t>
      </w:r>
    </w:p>
    <w:p>
      <w:pPr>
        <w:spacing w:after="240"/>
      </w:pPr>
      <w:r>
        <w:rPr>
          <w:color w:val="334155"/>
          <w:sz w:val="21"/>
        </w:rPr>
        <w:t>Proyek Emas Bukit Cendana · Periode Agustus 2026 · Disusun 3 September 2026</w:t>
      </w:r>
    </w:p>
    <w:p>
      <w:pPr>
        <w:spacing w:after="240"/>
      </w:pPr>
      <w:r>
        <w:rPr>
          <w:i/>
          <w:color w:val="334155"/>
          <w:sz w:val="17"/>
        </w:rPr>
        <w:t>Dokumen fiktif untuk keperluan pelatihan. Bukan dokumen operasional. Seluruh nama perusahaan, nama orang, dan angka dalam dokumen ini adalah rekaan.</w:t>
      </w:r>
    </w:p>
    <w:p>
      <w:pPr>
        <w:spacing w:before="260" w:after="100"/>
      </w:pPr>
      <w:r>
        <w:rPr>
          <w:b/>
          <w:color w:val="4A3728"/>
          <w:sz w:val="26"/>
        </w:rPr>
        <w:t>1. Ringkasan Eksekutif</w:t>
      </w:r>
    </w:p>
    <w:p>
      <w:r>
        <w:t>Pekerjaan konstruksi Proyek Emas Bukit Cendana memasuki bulan puncak mobilisasi. Progres fisik keseluruhan mencapai 41,8 persen terhadap rencana 44,5 persen, sehingga terdapat deviasi negatif 2,7 poin. Deviasi terkonsentrasi pada Paket A Jalan Angkut dan Drainase, yang berada pada jalur kritis menuju penyelesaian sipil pabrik pengolahan.</w:t>
      </w:r>
    </w:p>
    <w:p>
      <w:r>
        <w:t>Dua hal memerlukan perhatian manajemen pada periode ini. Pertama, penahanan klaim kontraktor meningkat tajam dan mulai berdampak pada arus kas kontraktor pelaksana. Kedua, jumlah observasi keselamatan kerja naik signifikan seiring bertambahnya jumlah tenaga kerja di lokasi.</w:t>
      </w:r>
    </w:p>
    <w:p>
      <w:pPr>
        <w:spacing w:before="260" w:after="100"/>
      </w:pPr>
      <w:r>
        <w:rPr>
          <w:b/>
          <w:color w:val="4A3728"/>
          <w:sz w:val="26"/>
        </w:rPr>
        <w:t>2. Progres Fisik per Paket</w:t>
      </w:r>
    </w:p>
    <w:tbl>
      <w:tblPr>
        <w:tblStyle w:val="TableGrid"/>
        <w:tblW w:type="auto" w:w="0"/>
        <w:jc w:val="center"/>
        <w:tblLook w:firstColumn="1" w:firstRow="1" w:lastColumn="0" w:lastRow="0" w:noHBand="0" w:noVBand="1" w:val="04A0"/>
      </w:tblPr>
      <w:tblGrid>
        <w:gridCol w:w="1728"/>
        <w:gridCol w:w="1728"/>
        <w:gridCol w:w="1728"/>
        <w:gridCol w:w="1728"/>
        <w:gridCol w:w="1728"/>
      </w:tblGrid>
      <w:tr>
        <w:tc>
          <w:tcPr>
            <w:tcW w:type="dxa" w:w="1728"/>
          </w:tcPr>
          <w:p>
            <w:r/>
            <w:r>
              <w:rPr>
                <w:b/>
                <w:color w:val="4A3728"/>
                <w:sz w:val="19"/>
              </w:rPr>
              <w:t>Paket</w:t>
            </w:r>
          </w:p>
        </w:tc>
        <w:tc>
          <w:tcPr>
            <w:tcW w:type="dxa" w:w="1728"/>
          </w:tcPr>
          <w:p>
            <w:r/>
            <w:r>
              <w:rPr>
                <w:b/>
                <w:color w:val="4A3728"/>
                <w:sz w:val="19"/>
              </w:rPr>
              <w:t>Lingkup</w:t>
            </w:r>
          </w:p>
        </w:tc>
        <w:tc>
          <w:tcPr>
            <w:tcW w:type="dxa" w:w="1728"/>
          </w:tcPr>
          <w:p>
            <w:r/>
            <w:r>
              <w:rPr>
                <w:b/>
                <w:color w:val="4A3728"/>
                <w:sz w:val="19"/>
              </w:rPr>
              <w:t>Rencana</w:t>
            </w:r>
          </w:p>
        </w:tc>
        <w:tc>
          <w:tcPr>
            <w:tcW w:type="dxa" w:w="1728"/>
          </w:tcPr>
          <w:p>
            <w:r/>
            <w:r>
              <w:rPr>
                <w:b/>
                <w:color w:val="4A3728"/>
                <w:sz w:val="19"/>
              </w:rPr>
              <w:t>Realisasi</w:t>
            </w:r>
          </w:p>
        </w:tc>
        <w:tc>
          <w:tcPr>
            <w:tcW w:type="dxa" w:w="1728"/>
          </w:tcPr>
          <w:p>
            <w:r/>
            <w:r>
              <w:rPr>
                <w:b/>
                <w:color w:val="4A3728"/>
                <w:sz w:val="19"/>
              </w:rPr>
              <w:t>Deviasi</w:t>
            </w:r>
          </w:p>
        </w:tc>
      </w:tr>
      <w:tr>
        <w:tc>
          <w:tcPr>
            <w:tcW w:type="dxa" w:w="1728"/>
          </w:tcPr>
          <w:p>
            <w:r/>
            <w:r>
              <w:rPr>
                <w:sz w:val="19"/>
              </w:rPr>
              <w:t>Paket A</w:t>
            </w:r>
          </w:p>
        </w:tc>
        <w:tc>
          <w:tcPr>
            <w:tcW w:type="dxa" w:w="1728"/>
          </w:tcPr>
          <w:p>
            <w:r/>
            <w:r>
              <w:rPr>
                <w:sz w:val="19"/>
              </w:rPr>
              <w:t>Jalan Angkut dan Drainase</w:t>
            </w:r>
          </w:p>
        </w:tc>
        <w:tc>
          <w:tcPr>
            <w:tcW w:type="dxa" w:w="1728"/>
          </w:tcPr>
          <w:p>
            <w:r/>
            <w:r>
              <w:rPr>
                <w:sz w:val="19"/>
              </w:rPr>
              <w:t>48,0 persen</w:t>
            </w:r>
          </w:p>
        </w:tc>
        <w:tc>
          <w:tcPr>
            <w:tcW w:type="dxa" w:w="1728"/>
          </w:tcPr>
          <w:p>
            <w:r/>
            <w:r>
              <w:rPr>
                <w:sz w:val="19"/>
              </w:rPr>
              <w:t>42,1 persen</w:t>
            </w:r>
          </w:p>
        </w:tc>
        <w:tc>
          <w:tcPr>
            <w:tcW w:type="dxa" w:w="1728"/>
          </w:tcPr>
          <w:p>
            <w:r/>
            <w:r>
              <w:rPr>
                <w:sz w:val="19"/>
              </w:rPr>
              <w:t>minus 5,9</w:t>
            </w:r>
          </w:p>
        </w:tc>
      </w:tr>
      <w:tr>
        <w:tc>
          <w:tcPr>
            <w:tcW w:type="dxa" w:w="1728"/>
          </w:tcPr>
          <w:p>
            <w:r/>
            <w:r>
              <w:rPr>
                <w:sz w:val="19"/>
              </w:rPr>
              <w:t>Paket B</w:t>
            </w:r>
          </w:p>
        </w:tc>
        <w:tc>
          <w:tcPr>
            <w:tcW w:type="dxa" w:w="1728"/>
          </w:tcPr>
          <w:p>
            <w:r/>
            <w:r>
              <w:rPr>
                <w:sz w:val="19"/>
              </w:rPr>
              <w:t>Sipil Pabrik Pengolahan</w:t>
            </w:r>
          </w:p>
        </w:tc>
        <w:tc>
          <w:tcPr>
            <w:tcW w:type="dxa" w:w="1728"/>
          </w:tcPr>
          <w:p>
            <w:r/>
            <w:r>
              <w:rPr>
                <w:sz w:val="19"/>
              </w:rPr>
              <w:t>45,0 persen</w:t>
            </w:r>
          </w:p>
        </w:tc>
        <w:tc>
          <w:tcPr>
            <w:tcW w:type="dxa" w:w="1728"/>
          </w:tcPr>
          <w:p>
            <w:r/>
            <w:r>
              <w:rPr>
                <w:sz w:val="19"/>
              </w:rPr>
              <w:t>44,2 persen</w:t>
            </w:r>
          </w:p>
        </w:tc>
        <w:tc>
          <w:tcPr>
            <w:tcW w:type="dxa" w:w="1728"/>
          </w:tcPr>
          <w:p>
            <w:r/>
            <w:r>
              <w:rPr>
                <w:sz w:val="19"/>
              </w:rPr>
              <w:t>minus 0,8</w:t>
            </w:r>
          </w:p>
        </w:tc>
      </w:tr>
      <w:tr>
        <w:tc>
          <w:tcPr>
            <w:tcW w:type="dxa" w:w="1728"/>
          </w:tcPr>
          <w:p>
            <w:r/>
            <w:r>
              <w:rPr>
                <w:sz w:val="19"/>
              </w:rPr>
              <w:t>Paket C</w:t>
            </w:r>
          </w:p>
        </w:tc>
        <w:tc>
          <w:tcPr>
            <w:tcW w:type="dxa" w:w="1728"/>
          </w:tcPr>
          <w:p>
            <w:r/>
            <w:r>
              <w:rPr>
                <w:sz w:val="19"/>
              </w:rPr>
              <w:t>Fasilitas Kamp dan Utilitas</w:t>
            </w:r>
          </w:p>
        </w:tc>
        <w:tc>
          <w:tcPr>
            <w:tcW w:type="dxa" w:w="1728"/>
          </w:tcPr>
          <w:p>
            <w:r/>
            <w:r>
              <w:rPr>
                <w:sz w:val="19"/>
              </w:rPr>
              <w:t>52,0 persen</w:t>
            </w:r>
          </w:p>
        </w:tc>
        <w:tc>
          <w:tcPr>
            <w:tcW w:type="dxa" w:w="1728"/>
          </w:tcPr>
          <w:p>
            <w:r/>
            <w:r>
              <w:rPr>
                <w:sz w:val="19"/>
              </w:rPr>
              <w:t>53,1 persen</w:t>
            </w:r>
          </w:p>
        </w:tc>
        <w:tc>
          <w:tcPr>
            <w:tcW w:type="dxa" w:w="1728"/>
          </w:tcPr>
          <w:p>
            <w:r/>
            <w:r>
              <w:rPr>
                <w:sz w:val="19"/>
              </w:rPr>
              <w:t>plus 1,1</w:t>
            </w:r>
          </w:p>
        </w:tc>
      </w:tr>
      <w:tr>
        <w:tc>
          <w:tcPr>
            <w:tcW w:type="dxa" w:w="1728"/>
          </w:tcPr>
          <w:p>
            <w:r/>
            <w:r>
              <w:rPr>
                <w:sz w:val="19"/>
              </w:rPr>
              <w:t>Paket D</w:t>
            </w:r>
          </w:p>
        </w:tc>
        <w:tc>
          <w:tcPr>
            <w:tcW w:type="dxa" w:w="1728"/>
          </w:tcPr>
          <w:p>
            <w:r/>
            <w:r>
              <w:rPr>
                <w:sz w:val="19"/>
              </w:rPr>
              <w:t>Bendungan Penampung Tailing</w:t>
            </w:r>
          </w:p>
        </w:tc>
        <w:tc>
          <w:tcPr>
            <w:tcW w:type="dxa" w:w="1728"/>
          </w:tcPr>
          <w:p>
            <w:r/>
            <w:r>
              <w:rPr>
                <w:sz w:val="19"/>
              </w:rPr>
              <w:t>38,0 persen</w:t>
            </w:r>
          </w:p>
        </w:tc>
        <w:tc>
          <w:tcPr>
            <w:tcW w:type="dxa" w:w="1728"/>
          </w:tcPr>
          <w:p>
            <w:r/>
            <w:r>
              <w:rPr>
                <w:sz w:val="19"/>
              </w:rPr>
              <w:t>36,9 persen</w:t>
            </w:r>
          </w:p>
        </w:tc>
        <w:tc>
          <w:tcPr>
            <w:tcW w:type="dxa" w:w="1728"/>
          </w:tcPr>
          <w:p>
            <w:r/>
            <w:r>
              <w:rPr>
                <w:sz w:val="19"/>
              </w:rPr>
              <w:t>minus 1,1</w:t>
            </w:r>
          </w:p>
        </w:tc>
      </w:tr>
      <w:tr>
        <w:tc>
          <w:tcPr>
            <w:tcW w:type="dxa" w:w="1728"/>
          </w:tcPr>
          <w:p>
            <w:r/>
            <w:r>
              <w:rPr>
                <w:sz w:val="19"/>
              </w:rPr>
              <w:t>Paket E</w:t>
            </w:r>
          </w:p>
        </w:tc>
        <w:tc>
          <w:tcPr>
            <w:tcW w:type="dxa" w:w="1728"/>
          </w:tcPr>
          <w:p>
            <w:r/>
            <w:r>
              <w:rPr>
                <w:sz w:val="19"/>
              </w:rPr>
              <w:t>Gardu Induk dan Jaringan Listrik</w:t>
            </w:r>
          </w:p>
        </w:tc>
        <w:tc>
          <w:tcPr>
            <w:tcW w:type="dxa" w:w="1728"/>
          </w:tcPr>
          <w:p>
            <w:r/>
            <w:r>
              <w:rPr>
                <w:sz w:val="19"/>
              </w:rPr>
              <w:t>40,0 persen</w:t>
            </w:r>
          </w:p>
        </w:tc>
        <w:tc>
          <w:tcPr>
            <w:tcW w:type="dxa" w:w="1728"/>
          </w:tcPr>
          <w:p>
            <w:r/>
            <w:r>
              <w:rPr>
                <w:sz w:val="19"/>
              </w:rPr>
              <w:t>39,4 persen</w:t>
            </w:r>
          </w:p>
        </w:tc>
        <w:tc>
          <w:tcPr>
            <w:tcW w:type="dxa" w:w="1728"/>
          </w:tcPr>
          <w:p>
            <w:r/>
            <w:r>
              <w:rPr>
                <w:sz w:val="19"/>
              </w:rPr>
              <w:t>minus 0,6</w:t>
            </w:r>
          </w:p>
        </w:tc>
      </w:tr>
    </w:tbl>
    <w:p/>
    <w:p>
      <w:pPr>
        <w:spacing w:before="260" w:after="100"/>
      </w:pPr>
      <w:r>
        <w:rPr>
          <w:b/>
          <w:color w:val="4A3728"/>
          <w:sz w:val="26"/>
        </w:rPr>
        <w:t>3. Status Klaim Kontraktor</w:t>
      </w:r>
    </w:p>
    <w:p>
      <w:r>
        <w:t>Sepanjang Juni sampai Agustus 2026 tercatat 1227 klaim diajukan oleh delapan kontraktor pelaksana. Tingkat penahanan klaim naik dari 12,3 persen pada Juni menjadi 18,3 persen pada Agustus, atau naik 6,0 poin dalam tiga bulan.</w:t>
      </w:r>
    </w:p>
    <w:p>
      <w:r>
        <w:t>Nilai klaim yang ditahan pada Agustus 2026 mencapai sekitar Rp 25,2 miliar. Sebagian besar nilai tertahan berasal dari Paket A.</w:t>
      </w:r>
    </w:p>
    <w:p>
      <w:r>
        <w:t>Rincian per kontraktor tersedia dalam lampiran register klaim. Departemen Kontrak dan Komersial mencatat bahwa penahanan tidak tersebar merata dan terkonsentrasi pada sebagian kecil kontraktor.</w:t>
      </w:r>
    </w:p>
    <w:p>
      <w:pPr>
        <w:spacing w:before="260" w:after="100"/>
      </w:pPr>
      <w:r>
        <w:rPr>
          <w:b/>
          <w:color w:val="4A3728"/>
          <w:sz w:val="26"/>
        </w:rPr>
        <w:t>4. Keselamatan dan Kesehatan Kerja</w:t>
      </w:r>
    </w:p>
    <w:p>
      <w:r>
        <w:t>Jumlah observasi keselamatan meningkat dari 205 temuan pada Juni menjadi 330 temuan pada Agustus. Kenaikan ini sejalan dengan bertambahnya jumlah tenaga kerja di lokasi dan intensitas pekerjaan malam.</w:t>
      </w:r>
    </w:p>
    <w:p>
      <w:r>
        <w:t>Tidak terdapat kecelakaan kerja dengan hilang hari kerja sepanjang periode pelaporan. Namun jumlah temuan berkategori risiko tinggi pada Agustus tercatat 41 temuan dan perlu ditindaklanjuti lebih cepat.</w:t>
      </w:r>
    </w:p>
    <w:p>
      <w:pPr>
        <w:spacing w:before="260" w:after="100"/>
      </w:pPr>
      <w:r>
        <w:rPr>
          <w:b/>
          <w:color w:val="4A3728"/>
          <w:sz w:val="26"/>
        </w:rPr>
        <w:t>5. Risiko dan Isu Utama</w:t>
      </w:r>
    </w:p>
    <w:tbl>
      <w:tblPr>
        <w:tblStyle w:val="TableGrid"/>
        <w:tblW w:type="auto" w:w="0"/>
        <w:jc w:val="center"/>
        <w:tblLook w:firstColumn="1" w:firstRow="1" w:lastColumn="0" w:lastRow="0" w:noHBand="0" w:noVBand="1" w:val="04A0"/>
      </w:tblPr>
      <w:tblGrid>
        <w:gridCol w:w="2880"/>
        <w:gridCol w:w="2880"/>
        <w:gridCol w:w="2880"/>
      </w:tblGrid>
      <w:tr>
        <w:tc>
          <w:tcPr>
            <w:tcW w:type="dxa" w:w="2880"/>
          </w:tcPr>
          <w:p>
            <w:r/>
            <w:r>
              <w:rPr>
                <w:b/>
                <w:color w:val="4A3728"/>
                <w:sz w:val="19"/>
              </w:rPr>
              <w:t>Isu</w:t>
            </w:r>
          </w:p>
        </w:tc>
        <w:tc>
          <w:tcPr>
            <w:tcW w:type="dxa" w:w="2880"/>
          </w:tcPr>
          <w:p>
            <w:r/>
            <w:r>
              <w:rPr>
                <w:b/>
                <w:color w:val="4A3728"/>
                <w:sz w:val="19"/>
              </w:rPr>
              <w:t>Dampak</w:t>
            </w:r>
          </w:p>
        </w:tc>
        <w:tc>
          <w:tcPr>
            <w:tcW w:type="dxa" w:w="2880"/>
          </w:tcPr>
          <w:p>
            <w:r/>
            <w:r>
              <w:rPr>
                <w:b/>
                <w:color w:val="4A3728"/>
                <w:sz w:val="19"/>
              </w:rPr>
              <w:t>Status</w:t>
            </w:r>
          </w:p>
        </w:tc>
      </w:tr>
      <w:tr>
        <w:tc>
          <w:tcPr>
            <w:tcW w:type="dxa" w:w="2880"/>
          </w:tcPr>
          <w:p>
            <w:r/>
            <w:r>
              <w:rPr>
                <w:sz w:val="19"/>
              </w:rPr>
              <w:t>Deviasi progres Paket A</w:t>
            </w:r>
          </w:p>
        </w:tc>
        <w:tc>
          <w:tcPr>
            <w:tcW w:type="dxa" w:w="2880"/>
          </w:tcPr>
          <w:p>
            <w:r/>
            <w:r>
              <w:rPr>
                <w:sz w:val="19"/>
              </w:rPr>
              <w:t>Jalur kritis pabrik pengolahan</w:t>
            </w:r>
          </w:p>
        </w:tc>
        <w:tc>
          <w:tcPr>
            <w:tcW w:type="dxa" w:w="2880"/>
          </w:tcPr>
          <w:p>
            <w:r/>
            <w:r>
              <w:rPr>
                <w:sz w:val="19"/>
              </w:rPr>
              <w:t>Terbuka</w:t>
            </w:r>
          </w:p>
        </w:tc>
      </w:tr>
      <w:tr>
        <w:tc>
          <w:tcPr>
            <w:tcW w:type="dxa" w:w="2880"/>
          </w:tcPr>
          <w:p>
            <w:r/>
            <w:r>
              <w:rPr>
                <w:sz w:val="19"/>
              </w:rPr>
              <w:t>Penahanan klaim meningkat</w:t>
            </w:r>
          </w:p>
        </w:tc>
        <w:tc>
          <w:tcPr>
            <w:tcW w:type="dxa" w:w="2880"/>
          </w:tcPr>
          <w:p>
            <w:r/>
            <w:r>
              <w:rPr>
                <w:sz w:val="19"/>
              </w:rPr>
              <w:t>Arus kas kontraktor</w:t>
            </w:r>
          </w:p>
        </w:tc>
        <w:tc>
          <w:tcPr>
            <w:tcW w:type="dxa" w:w="2880"/>
          </w:tcPr>
          <w:p>
            <w:r/>
            <w:r>
              <w:rPr>
                <w:sz w:val="19"/>
              </w:rPr>
              <w:t>Terbuka</w:t>
            </w:r>
          </w:p>
        </w:tc>
      </w:tr>
      <w:tr>
        <w:tc>
          <w:tcPr>
            <w:tcW w:type="dxa" w:w="2880"/>
          </w:tcPr>
          <w:p>
            <w:r/>
            <w:r>
              <w:rPr>
                <w:sz w:val="19"/>
              </w:rPr>
              <w:t>Temuan risiko tinggi K3</w:t>
            </w:r>
          </w:p>
        </w:tc>
        <w:tc>
          <w:tcPr>
            <w:tcW w:type="dxa" w:w="2880"/>
          </w:tcPr>
          <w:p>
            <w:r/>
            <w:r>
              <w:rPr>
                <w:sz w:val="19"/>
              </w:rPr>
              <w:t>Potensi insiden</w:t>
            </w:r>
          </w:p>
        </w:tc>
        <w:tc>
          <w:tcPr>
            <w:tcW w:type="dxa" w:w="2880"/>
          </w:tcPr>
          <w:p>
            <w:r/>
            <w:r>
              <w:rPr>
                <w:sz w:val="19"/>
              </w:rPr>
              <w:t>Dalam proses</w:t>
            </w:r>
          </w:p>
        </w:tc>
      </w:tr>
      <w:tr>
        <w:tc>
          <w:tcPr>
            <w:tcW w:type="dxa" w:w="2880"/>
          </w:tcPr>
          <w:p>
            <w:r/>
            <w:r>
              <w:rPr>
                <w:sz w:val="19"/>
              </w:rPr>
              <w:t>Curah hujan di atas normal</w:t>
            </w:r>
          </w:p>
        </w:tc>
        <w:tc>
          <w:tcPr>
            <w:tcW w:type="dxa" w:w="2880"/>
          </w:tcPr>
          <w:p>
            <w:r/>
            <w:r>
              <w:rPr>
                <w:sz w:val="19"/>
              </w:rPr>
              <w:t>Produktivitas galian</w:t>
            </w:r>
          </w:p>
        </w:tc>
        <w:tc>
          <w:tcPr>
            <w:tcW w:type="dxa" w:w="2880"/>
          </w:tcPr>
          <w:p>
            <w:r/>
            <w:r>
              <w:rPr>
                <w:sz w:val="19"/>
              </w:rPr>
              <w:t>Dipantau</w:t>
            </w:r>
          </w:p>
        </w:tc>
      </w:tr>
      <w:tr>
        <w:tc>
          <w:tcPr>
            <w:tcW w:type="dxa" w:w="2880"/>
          </w:tcPr>
          <w:p>
            <w:r/>
            <w:r>
              <w:rPr>
                <w:sz w:val="19"/>
              </w:rPr>
              <w:t>Keterlambatan material geomembran</w:t>
            </w:r>
          </w:p>
        </w:tc>
        <w:tc>
          <w:tcPr>
            <w:tcW w:type="dxa" w:w="2880"/>
          </w:tcPr>
          <w:p>
            <w:r/>
            <w:r>
              <w:rPr>
                <w:sz w:val="19"/>
              </w:rPr>
              <w:t>Bendungan tailing</w:t>
            </w:r>
          </w:p>
        </w:tc>
        <w:tc>
          <w:tcPr>
            <w:tcW w:type="dxa" w:w="2880"/>
          </w:tcPr>
          <w:p>
            <w:r/>
            <w:r>
              <w:rPr>
                <w:sz w:val="19"/>
              </w:rPr>
              <w:t>Dalam proses</w:t>
            </w:r>
          </w:p>
        </w:tc>
      </w:tr>
    </w:tbl>
    <w:p/>
    <w:p>
      <w:pPr>
        <w:spacing w:before="260" w:after="100"/>
      </w:pPr>
      <w:r>
        <w:rPr>
          <w:b/>
          <w:color w:val="4A3728"/>
          <w:sz w:val="26"/>
        </w:rPr>
        <w:t>6. Rencana Tindak Lanjut Bulan Depan</w:t>
      </w:r>
    </w:p>
    <w:p>
      <w:pPr>
        <w:pStyle w:val="ListBullet"/>
      </w:pPr>
      <w:r>
        <w:t>Menyelenggarakan rapat klarifikasi klaim dengan kontraktor yang tingkat penahanannya melampaui ambang batas SOP-KOM-007 Pasal 5.</w:t>
      </w:r>
    </w:p>
    <w:p>
      <w:pPr>
        <w:pStyle w:val="ListBullet"/>
      </w:pPr>
      <w:r>
        <w:t>Menambah satu personel Quantity Surveyor untuk mempercepat verifikasi kuantitas.</w:t>
      </w:r>
    </w:p>
    <w:p>
      <w:pPr>
        <w:pStyle w:val="ListBullet"/>
      </w:pPr>
      <w:r>
        <w:t>Meninjau ulang jadwal Paket A bersama kontraktor pelaksana.</w:t>
      </w:r>
    </w:p>
    <w:p>
      <w:pPr>
        <w:pStyle w:val="ListBullet"/>
      </w:pPr>
      <w:r>
        <w:t>Menyelenggarakan pelatihan penyusunan dokumen klaim untuk staf administrasi kontraktor.</w:t>
      </w:r>
    </w:p>
    <w:p>
      <w:pPr>
        <w:pStyle w:val="ListBullet"/>
      </w:pPr>
      <w:r>
        <w:t>Meningkatkan frekuensi inspeksi keselamatan pada area dengan temuan terbanyak.</w:t>
      </w:r>
    </w:p>
    <w:p/>
    <w:p>
      <w:r>
        <w:t>Disusun oleh Bu Andini Prasetyawati, Manajer Kontrak dan Komersial.</w:t>
      </w:r>
    </w:p>
    <w:p>
      <w:r>
        <w:t>Ditinjau oleh Pak Rizky Wijaksono, General Manager Strategic Commercial dan IT.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78" w:lineRule="auto"/>
    </w:pPr>
    <w:rPr>
      <w:rFonts w:ascii="Segoe UI" w:hAnsi="Segoe U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